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Сердечно-сосудистая 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Сердечно-сосудистая 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Сердечно-сосудистая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• травм и операций не было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• аллергических реакций не было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уровень тиреоидных гормонов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показатели билирубина и трансаминаз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тропонина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уровень калия и креатинина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холестерин и его фракции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уровень тиреоидных гормонов; уровень тропонина крови; уровень калия и креатинина крови</w:t>
      </w:r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Гипотиреоз может быть одной из причин развития синусовой брадикардии.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активного миокардита показано определение уровня тропонина крови.</w:t>
        <w:br/>
        <w:br/>
        <w:t>Всем пациентам с клиническим подозрением на миокардит рекомендуется определение тропонинов T и I.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Миокардиты, 2016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Гиперкалиемия на фоне ХБП может быть причиной брадикардии.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Уровень тропонина крови</w:t>
      </w:r>
    </w:p>
    <w:p>
      <w:pPr>
        <w:spacing w:after="58"/>
      </w:pPr>
      <w:r>
        <w:rPr>
          <w:b w:val="0"/>
          <w:i w:val="0"/>
        </w:rPr>
        <w:t>Тропонин Т 0,01 нг/мл (N: до 0,012 нг/мл)</w:t>
      </w:r>
    </w:p>
    <w:p>
      <w:pPr>
        <w:pStyle w:val="Heading3"/>
      </w:pPr>
      <w:r>
        <w:t>3.2. Уровень калия и креатинина крови</w:t>
      </w:r>
    </w:p>
    <w:p>
      <w:pPr>
        <w:spacing w:after="58"/>
      </w:pPr>
      <w:r>
        <w:rPr>
          <w:b w:val="0"/>
          <w:i w:val="0"/>
        </w:rPr>
        <w:t>Калий 4,3 ммоль/л (N: 3,5–5,0)</w:t>
      </w:r>
    </w:p>
    <w:p>
      <w:pPr>
        <w:spacing w:after="58"/>
      </w:pPr>
      <w:r>
        <w:rPr>
          <w:b w:val="0"/>
          <w:i w:val="0"/>
        </w:rPr>
        <w:t>Креатинин 82 мкмоль/л (N: 62-106 мкмоль/л)</w:t>
      </w:r>
    </w:p>
    <w:p>
      <w:pPr>
        <w:pStyle w:val="Heading3"/>
      </w:pPr>
      <w:r>
        <w:t>3.3. Уровень тиреоидных гормонов</w:t>
      </w:r>
    </w:p>
    <w:p>
      <w:pPr>
        <w:spacing w:after="58"/>
      </w:pPr>
      <w:r>
        <w:rPr>
          <w:b w:val="0"/>
          <w:i w:val="0"/>
        </w:rPr>
        <w:t>Тиреотропный гормон 3,02 мЕд/л (N: 0,25–3,5)</w:t>
      </w:r>
    </w:p>
    <w:p>
      <w:pPr>
        <w:spacing w:after="58"/>
      </w:pPr>
      <w:r>
        <w:rPr>
          <w:b w:val="0"/>
          <w:i w:val="0"/>
        </w:rPr>
        <w:t>Тироксин свободный 12,7 пмоль/л (N: 10–27)</w:t>
      </w:r>
    </w:p>
    <w:p>
      <w:pPr>
        <w:pStyle w:val="Heading3"/>
      </w:pPr>
      <w:r>
        <w:t>3.6. Общий холестерин и его фракции</w:t>
      </w:r>
    </w:p>
    <w:p>
      <w:pPr>
        <w:spacing w:after="58"/>
      </w:pPr>
      <w:r>
        <w:rPr>
          <w:b w:val="0"/>
          <w:i w:val="0"/>
        </w:rPr>
        <w:t>Общий холестерин   5,3 ммоль/л (N&lt;5,0)</w:t>
      </w:r>
    </w:p>
    <w:p>
      <w:pPr>
        <w:spacing w:after="58"/>
      </w:pPr>
      <w:r>
        <w:rPr>
          <w:b w:val="0"/>
          <w:i w:val="0"/>
        </w:rPr>
        <w:t>ЛПВП 1,14 ммоль/л (N&gt;1,2)</w:t>
      </w:r>
    </w:p>
    <w:p>
      <w:pPr>
        <w:spacing w:after="58"/>
      </w:pPr>
      <w:r>
        <w:rPr>
          <w:b w:val="0"/>
          <w:i w:val="0"/>
        </w:rPr>
        <w:t>ЛПНП 2,96 ммоль/л (N&lt;3,0)</w:t>
      </w:r>
    </w:p>
    <w:p>
      <w:pPr>
        <w:spacing w:after="58"/>
      </w:pPr>
      <w:r>
        <w:rPr>
          <w:b w:val="0"/>
          <w:i w:val="0"/>
        </w:rPr>
        <w:t>Триглицериды 1,9 ммоль/л (N&lt;1,7)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регистрация ЭКГ в 12 отведениях на амбулаторном приёме аритмолога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суточное мониторирование 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брахиоцефальных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легких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сцинтиграфия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регистрация ЭКГ в 12 отведениях на амбулаторном приёме аритмолога; суточное мониторирование ЭКГ</w:t>
      </w:r>
    </w:p>
    <w:p>
      <w:pPr>
        <w:ind w:left="504"/>
      </w:pPr>
      <w:r>
        <w:rPr>
          <w:b w:val="0"/>
          <w:i/>
        </w:rPr>
        <w:t>Рекомендуется во всех случаях подозрения на БА регистрировать стандартную ЭКГ в 12 отведениях.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Регистрация ЭКГ в 12 отведениях на амбулаторном приёме аритмолога</w:t>
      </w:r>
    </w:p>
    <w:p>
      <w:r>
        <w:drawing>
          <wp:inline xmlns:a="http://schemas.openxmlformats.org/drawingml/2006/main" xmlns:pic="http://schemas.openxmlformats.org/drawingml/2006/picture">
            <wp:extent cx="5303520" cy="172192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4147fd4921d7bff3f5adcb96d4e5212bdfcddd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72192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Регистрация ЭКГ в 12 отведениях на амбулаторном приёме аритмолога</w:t>
      </w:r>
    </w:p>
    <w:p>
      <w:pPr>
        <w:pStyle w:val="Heading3"/>
      </w:pPr>
      <w:r>
        <w:t>5.2. Суточное мониторирование ЭКГ</w:t>
      </w:r>
    </w:p>
    <w:p>
      <w:r>
        <w:drawing>
          <wp:inline xmlns:a="http://schemas.openxmlformats.org/drawingml/2006/main" xmlns:pic="http://schemas.openxmlformats.org/drawingml/2006/picture">
            <wp:extent cx="5303520" cy="592020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0df3c42f5e48272d9aac66f45b10a430b916a86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20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Суточное мониторирование ЭКГ</w:t>
      </w:r>
    </w:p>
    <w:p>
      <w:r>
        <w:drawing>
          <wp:inline xmlns:a="http://schemas.openxmlformats.org/drawingml/2006/main" xmlns:pic="http://schemas.openxmlformats.org/drawingml/2006/picture">
            <wp:extent cx="5303520" cy="503986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5f2e58cb2c6d1112b589eecf444a6aa03eeb264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398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Суточное мониторирование ЭКГ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Анализируя полученные данные,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Синоатриальная блокада 2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Атриовентрикулярная блокада 2 степени типа 2:1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Атриовентрикулярная блокада 3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блокада 1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Атриовентрикулярная блокада 2 степени типа 2:1</w:t>
      </w:r>
    </w:p>
    <w:p>
      <w:pPr>
        <w:ind w:left="504"/>
      </w:pPr>
      <w:r>
        <w:rPr>
          <w:b w:val="0"/>
          <w:i/>
        </w:rPr>
        <w:t>По степени выраженности нарушений различают:</w:t>
        <w:br/>
        <w:br/>
        <w:t>ПЖБ I степени — замедление проведения импульса от предсердий к желудочкам с проведением каждого импульса;</w:t>
        <w:br/>
        <w:br/>
        <w:t>ПЖБ II степени - периодические прерывания проведения предсердных импульсов на желудочки.</w:t>
        <w:br/>
        <w:br/>
        <w:t>Она имеет три разновидности:</w:t>
        <w:br/>
        <w:br/>
        <w:t>Мобитц тип I—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Атриовентрикулярная блокада 2 степени типа 2:1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Разновидности АВ-блокады 2 степени включают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мобитц-I, мобитц-II и далекозашедшую АВ-блокаду 2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мобитц-I, мобитц-II и далекозашедшую АВ-блокаду 2 степени</w:t>
      </w:r>
    </w:p>
    <w:p>
      <w:pPr>
        <w:ind w:left="504"/>
      </w:pPr>
      <w:r>
        <w:rPr>
          <w:b w:val="0"/>
          <w:i/>
        </w:rPr>
        <w:t>АВ-блокада 2 степени имеет 3 разновидности:</w:t>
        <w:br/>
        <w:br/>
        <w:t>Мобитц тип I—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Пациентке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госпитализация в дневной стационар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504"/>
      </w:pPr>
      <w:r>
        <w:rPr>
          <w:b w:val="0"/>
          <w:i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имплантация постоянного ЭКС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имплантация петлевого регистратора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имплантация постоянного ЭКС</w:t>
      </w:r>
    </w:p>
    <w:p>
      <w:pPr>
        <w:ind w:left="504"/>
      </w:pPr>
      <w:r>
        <w:rPr>
          <w:b w:val="0"/>
          <w:i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двухкамерная последовательная стимуляция предсердий и желудочков стимуляция (DDD)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однокамерная предсердная стимуляция (AAI)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однокамерная желудочковая стимуляция (VVI)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двухкамерная последовательная стимуляция предсердий и желудочков стимуляция (DDD)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Функция частотной адаптации для данной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абсолютно показана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абсолютна не 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будет показана при наличии сопутствующей хронотропной некомпетентности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будет показана при наличии сопутствующей хронотропной некомпетентности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пневмоторакс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гемоперикард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дислокация эндокардиального электрода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интраоперационный инфаркт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дислокация эндокардиального электрода</w:t>
      </w:r>
    </w:p>
    <w:p>
      <w:pPr>
        <w:ind w:left="504"/>
      </w:pPr>
      <w:r>
        <w:rPr>
          <w:b w:val="0"/>
          <w:i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  <w:br/>
        <w:br/>
        <w:t>(ВНОА «Клинические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устройств», 2017 год, стр. 77)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Хронотропным индексом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ind w:left="504"/>
      </w:pPr>
      <w:r>
        <w:rPr>
          <w:b w:val="0"/>
          <w:i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 [5].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дважды в первые 6 месяцев, затем каждые 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ежемесячно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дважды в первые 6 месяцев, затем каждые 6 месяцев</w:t>
      </w:r>
    </w:p>
    <w:p>
      <w:pPr>
        <w:ind w:left="504"/>
      </w:pPr>
      <w:r>
        <w:rPr>
          <w:b w:val="0"/>
          <w:i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 в местных санаториях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показана в санаториях федерального значения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показана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показана</w:t>
      </w:r>
    </w:p>
    <w:p>
      <w:pPr>
        <w:ind w:left="504"/>
      </w:pPr>
      <w:r>
        <w:rPr>
          <w:b w:val="0"/>
          <w:i/>
        </w:rPr>
        <w:t>Пациенты с имплантированными ЭКС в реабилитации не нуждаются.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138" TargetMode="External"/><Relationship Id="rId10" Type="http://schemas.openxmlformats.org/officeDocument/2006/relationships/hyperlink" Target="https://library.mededtech.ru/rest/documents/cr_138/#list_item_7e4mk" TargetMode="External"/><Relationship Id="rId11" Type="http://schemas.openxmlformats.org/officeDocument/2006/relationships/hyperlink" Target="https://library.mededtech.ru/rest/documents/cr_131" TargetMode="External"/><Relationship Id="rId12" Type="http://schemas.openxmlformats.org/officeDocument/2006/relationships/hyperlink" Target="https://library.mededtech.ru/rest/documents/cr_131/#list_item_nc8ho" TargetMode="External"/><Relationship Id="rId13" Type="http://schemas.openxmlformats.org/officeDocument/2006/relationships/hyperlink" Target="https://library.mededtech.ru/rest/documents/cr_138/#list_item_j1bft" TargetMode="External"/><Relationship Id="rId14" Type="http://schemas.openxmlformats.org/officeDocument/2006/relationships/hyperlink" Target="https://library.mededtech.ru/rest/documents/cr_138/#list_item_36dt9" TargetMode="External"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hyperlink" Target="https://library.mededtech.ru/rest/documents/cr_138/#paragraph_m0h3u" TargetMode="External"/><Relationship Id="rId19" Type="http://schemas.openxmlformats.org/officeDocument/2006/relationships/hyperlink" Target="https://library.mededtech.ru/rest/documents/cr_138/#paragraph_0vp64" TargetMode="External"/><Relationship Id="rId20" Type="http://schemas.openxmlformats.org/officeDocument/2006/relationships/hyperlink" Target="https://library.mededtech.ru/rest/documents/cr_138/#list_item_3rutl" TargetMode="External"/><Relationship Id="rId21" Type="http://schemas.openxmlformats.org/officeDocument/2006/relationships/hyperlink" Target="https://library.mededtech.ru/rest/documents/cr_138/#list_item_5bem6" TargetMode="External"/><Relationship Id="rId22" Type="http://schemas.openxmlformats.org/officeDocument/2006/relationships/hyperlink" Target="https://library.mededtech.ru/rest/documents/cr_138/#list_item_ndh43" TargetMode="External"/><Relationship Id="rId23" Type="http://schemas.openxmlformats.org/officeDocument/2006/relationships/hyperlink" Target="https://library.mededtech.ru/rest/documents/cr_138/#paragraph_dugtt" TargetMode="External"/><Relationship Id="rId24" Type="http://schemas.openxmlformats.org/officeDocument/2006/relationships/hyperlink" Target="https://library.mededtech.ru/rest/documents/cr_138/#paragraph_4chui" TargetMode="External"/><Relationship Id="rId25" Type="http://schemas.openxmlformats.org/officeDocument/2006/relationships/hyperlink" Target="https://library.mededtech.ru/rest/documents/cr_138/#paragraph_lmh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